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6EF60" w14:textId="77777777" w:rsidR="00F16B7C" w:rsidRDefault="00F16B7C" w:rsidP="00F16B7C">
      <w:pPr>
        <w:jc w:val="center"/>
        <w:rPr>
          <w:sz w:val="28"/>
        </w:rPr>
      </w:pPr>
      <w:r w:rsidRPr="0080081B">
        <w:rPr>
          <w:sz w:val="28"/>
        </w:rPr>
        <w:t>ОЦЕНКА</w:t>
      </w:r>
      <w:r>
        <w:rPr>
          <w:sz w:val="28"/>
        </w:rPr>
        <w:t xml:space="preserve"> ПРАВИЛЬНОСТИ ВЫБОРА СВОЙСТВ ПОЧВ ДЛЯ ИХ ОЦЕНКИ И РАСЧЕТА БОНИТИРОВОЧНОЙ ШКАЛЫ</w:t>
      </w:r>
    </w:p>
    <w:p w14:paraId="6E0A2E6F" w14:textId="77777777" w:rsidR="00F16B7C" w:rsidRDefault="00F16B7C" w:rsidP="00F16B7C">
      <w:pPr>
        <w:jc w:val="center"/>
        <w:rPr>
          <w:sz w:val="28"/>
        </w:rPr>
      </w:pPr>
    </w:p>
    <w:p w14:paraId="17A43C35" w14:textId="77777777" w:rsidR="00F16B7C" w:rsidRDefault="00F16B7C" w:rsidP="00F16B7C">
      <w:pPr>
        <w:jc w:val="center"/>
        <w:rPr>
          <w:sz w:val="28"/>
        </w:rPr>
      </w:pPr>
      <w:r>
        <w:rPr>
          <w:sz w:val="28"/>
          <w:szCs w:val="28"/>
        </w:rPr>
        <w:t>Задание</w:t>
      </w:r>
      <w:r w:rsidRPr="007439C1">
        <w:rPr>
          <w:sz w:val="28"/>
          <w:szCs w:val="28"/>
        </w:rPr>
        <w:t xml:space="preserve"> </w:t>
      </w:r>
      <w:r>
        <w:rPr>
          <w:sz w:val="28"/>
        </w:rPr>
        <w:t>5</w:t>
      </w:r>
      <w:r w:rsidRPr="0080081B">
        <w:rPr>
          <w:sz w:val="28"/>
        </w:rPr>
        <w:t xml:space="preserve"> </w:t>
      </w:r>
    </w:p>
    <w:p w14:paraId="12A675AE" w14:textId="77777777" w:rsidR="00F16B7C" w:rsidRPr="0080081B" w:rsidRDefault="00F16B7C" w:rsidP="00F16B7C">
      <w:pPr>
        <w:jc w:val="center"/>
        <w:rPr>
          <w:sz w:val="28"/>
        </w:rPr>
      </w:pPr>
    </w:p>
    <w:p w14:paraId="16FD3F13" w14:textId="77777777" w:rsidR="00F16B7C" w:rsidRDefault="00F16B7C" w:rsidP="00F16B7C">
      <w:pPr>
        <w:ind w:firstLine="709"/>
        <w:jc w:val="both"/>
        <w:rPr>
          <w:sz w:val="28"/>
        </w:rPr>
      </w:pPr>
      <w:r>
        <w:rPr>
          <w:sz w:val="28"/>
        </w:rPr>
        <w:t>3.1 Правильность бонитировки почв проверяется путем установления тесноты связи между средневзвешенными баллами и сре</w:t>
      </w:r>
      <w:r>
        <w:rPr>
          <w:sz w:val="28"/>
        </w:rPr>
        <w:t>д</w:t>
      </w:r>
      <w:r>
        <w:rPr>
          <w:sz w:val="28"/>
        </w:rPr>
        <w:t>ней многолетней урожайностью зерновых на пашне.</w:t>
      </w:r>
    </w:p>
    <w:p w14:paraId="0C696B7C" w14:textId="77777777" w:rsidR="00F16B7C" w:rsidRDefault="00F16B7C" w:rsidP="00F16B7C">
      <w:pPr>
        <w:ind w:firstLine="709"/>
        <w:jc w:val="both"/>
        <w:rPr>
          <w:sz w:val="28"/>
        </w:rPr>
      </w:pPr>
      <w:r>
        <w:rPr>
          <w:sz w:val="28"/>
        </w:rPr>
        <w:t>С этой целью вычисляется коэффициент корреляции (</w:t>
      </w:r>
      <w:r>
        <w:rPr>
          <w:sz w:val="28"/>
          <w:lang w:val="en-US"/>
        </w:rPr>
        <w:t>r</w:t>
      </w:r>
      <w:r>
        <w:rPr>
          <w:sz w:val="28"/>
        </w:rPr>
        <w:t>) по форм</w:t>
      </w:r>
      <w:r>
        <w:rPr>
          <w:sz w:val="28"/>
        </w:rPr>
        <w:t>у</w:t>
      </w:r>
      <w:r>
        <w:rPr>
          <w:sz w:val="28"/>
        </w:rPr>
        <w:t>ле:</w:t>
      </w:r>
    </w:p>
    <w:p w14:paraId="434D34A3" w14:textId="77777777" w:rsidR="00F16B7C" w:rsidRDefault="00F16B7C" w:rsidP="00F16B7C">
      <w:pPr>
        <w:ind w:firstLine="709"/>
        <w:jc w:val="both"/>
        <w:rPr>
          <w:sz w:val="28"/>
        </w:rPr>
      </w:pPr>
    </w:p>
    <w:p w14:paraId="03E91AB9" w14:textId="77777777" w:rsidR="00F16B7C" w:rsidRDefault="00F16B7C" w:rsidP="00F16B7C">
      <w:pPr>
        <w:ind w:firstLine="2160"/>
        <w:jc w:val="center"/>
        <w:rPr>
          <w:sz w:val="28"/>
        </w:rPr>
      </w:pPr>
      <w:r>
        <w:rPr>
          <w:sz w:val="28"/>
        </w:rPr>
        <w:t xml:space="preserve">           </w:t>
      </w:r>
      <w:r>
        <w:rPr>
          <w:position w:val="-46"/>
          <w:sz w:val="28"/>
        </w:rPr>
        <w:object w:dxaOrig="2659" w:dyaOrig="940" w14:anchorId="6B456D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3.2pt;height:46.8pt" o:ole="">
            <v:imagedata r:id="rId4" o:title=""/>
          </v:shape>
          <o:OLEObject Type="Embed" ProgID="Equation.3" ShapeID="_x0000_i1025" DrawAspect="Content" ObjectID="_1640435727" r:id="rId5"/>
        </w:object>
      </w:r>
      <w:proofErr w:type="gramStart"/>
      <w:r>
        <w:rPr>
          <w:sz w:val="28"/>
        </w:rPr>
        <w:t xml:space="preserve">,   </w:t>
      </w:r>
      <w:proofErr w:type="gramEnd"/>
      <w:r>
        <w:rPr>
          <w:sz w:val="28"/>
        </w:rPr>
        <w:t xml:space="preserve">                                              (10)</w:t>
      </w:r>
    </w:p>
    <w:p w14:paraId="20B2E5F4" w14:textId="77777777" w:rsidR="00F16B7C" w:rsidRDefault="00F16B7C" w:rsidP="00F16B7C">
      <w:pPr>
        <w:ind w:firstLine="709"/>
        <w:jc w:val="center"/>
        <w:rPr>
          <w:sz w:val="28"/>
        </w:rPr>
      </w:pPr>
    </w:p>
    <w:p w14:paraId="0A2C84B4" w14:textId="77777777" w:rsidR="00F16B7C" w:rsidRDefault="00F16B7C" w:rsidP="00F16B7C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x</w:t>
      </w:r>
      <w:r>
        <w:rPr>
          <w:sz w:val="28"/>
        </w:rPr>
        <w:t xml:space="preserve"> – средневзвешенные баллы бонитета в отдельных хозяйствах; </w:t>
      </w:r>
    </w:p>
    <w:p w14:paraId="68EBB6AB" w14:textId="77777777" w:rsidR="00F16B7C" w:rsidRDefault="00F16B7C" w:rsidP="00F16B7C">
      <w:pPr>
        <w:ind w:firstLine="709"/>
        <w:jc w:val="both"/>
        <w:rPr>
          <w:sz w:val="28"/>
        </w:rPr>
      </w:pPr>
      <w:r>
        <w:rPr>
          <w:position w:val="-6"/>
          <w:sz w:val="28"/>
        </w:rPr>
        <w:object w:dxaOrig="200" w:dyaOrig="340" w14:anchorId="6185C473">
          <v:shape id="_x0000_i1026" type="#_x0000_t75" style="width:10.2pt;height:16.8pt" o:ole="">
            <v:imagedata r:id="rId6" o:title=""/>
          </v:shape>
          <o:OLEObject Type="Embed" ProgID="Equation.3" ShapeID="_x0000_i1026" DrawAspect="Content" ObjectID="_1640435728" r:id="rId7"/>
        </w:object>
      </w:r>
      <w:r>
        <w:rPr>
          <w:sz w:val="28"/>
        </w:rPr>
        <w:t xml:space="preserve">– средневзвешенные баллы бонитета почв в районе; </w:t>
      </w:r>
    </w:p>
    <w:p w14:paraId="35CBB0B0" w14:textId="77777777" w:rsidR="00F16B7C" w:rsidRDefault="00F16B7C" w:rsidP="00F16B7C">
      <w:pPr>
        <w:ind w:firstLine="709"/>
        <w:jc w:val="both"/>
        <w:rPr>
          <w:sz w:val="28"/>
        </w:rPr>
      </w:pPr>
      <w:r>
        <w:rPr>
          <w:sz w:val="28"/>
        </w:rPr>
        <w:t>y – фактическая урожайность зерновых в хозяйствах;</w:t>
      </w:r>
    </w:p>
    <w:p w14:paraId="62461F5C" w14:textId="77777777" w:rsidR="00F16B7C" w:rsidRDefault="00F16B7C" w:rsidP="00F16B7C">
      <w:pPr>
        <w:ind w:firstLine="709"/>
        <w:jc w:val="both"/>
        <w:rPr>
          <w:sz w:val="28"/>
        </w:rPr>
      </w:pPr>
      <w:r w:rsidRPr="001F4534">
        <w:rPr>
          <w:position w:val="-10"/>
          <w:sz w:val="28"/>
        </w:rPr>
        <w:object w:dxaOrig="220" w:dyaOrig="380" w14:anchorId="63CE559A">
          <v:shape id="_x0000_i1027" type="#_x0000_t75" style="width:14.4pt;height:24.6pt" o:ole="" o:bullet="t">
            <v:imagedata r:id="rId8" o:title=""/>
          </v:shape>
          <o:OLEObject Type="Embed" ProgID="Equation.3" ShapeID="_x0000_i1027" DrawAspect="Content" ObjectID="_1640435729" r:id="rId9"/>
        </w:object>
      </w:r>
      <w:r>
        <w:rPr>
          <w:sz w:val="28"/>
        </w:rPr>
        <w:t>– средняя арифметическая урожайность зерновых в районе.</w:t>
      </w:r>
    </w:p>
    <w:p w14:paraId="372DFAF1" w14:textId="77777777" w:rsidR="00F16B7C" w:rsidRDefault="00F16B7C" w:rsidP="00F16B7C">
      <w:pPr>
        <w:pStyle w:val="2"/>
        <w:ind w:firstLine="708"/>
      </w:pPr>
      <w:r>
        <w:t xml:space="preserve">Подготовительные вычисления ведутся по следующей форме (таблица 9). </w:t>
      </w:r>
    </w:p>
    <w:p w14:paraId="7A00C651" w14:textId="77777777" w:rsidR="00F16B7C" w:rsidRDefault="00F16B7C" w:rsidP="00F16B7C">
      <w:pPr>
        <w:pStyle w:val="2"/>
        <w:ind w:firstLine="708"/>
      </w:pPr>
    </w:p>
    <w:p w14:paraId="0AC4F84E" w14:textId="77777777" w:rsidR="00F16B7C" w:rsidRDefault="00F16B7C" w:rsidP="00F16B7C">
      <w:pPr>
        <w:pStyle w:val="2"/>
        <w:ind w:firstLine="708"/>
        <w:rPr>
          <w:szCs w:val="28"/>
        </w:rPr>
      </w:pPr>
      <w:r w:rsidRPr="00006F4F">
        <w:rPr>
          <w:szCs w:val="28"/>
        </w:rPr>
        <w:t xml:space="preserve">Таблица </w:t>
      </w:r>
      <w:r>
        <w:rPr>
          <w:szCs w:val="28"/>
        </w:rPr>
        <w:t>9</w:t>
      </w:r>
      <w:r w:rsidRPr="00006F4F">
        <w:rPr>
          <w:szCs w:val="28"/>
        </w:rPr>
        <w:t xml:space="preserve"> - Расчеты для определения коэффициента корреляции</w:t>
      </w:r>
    </w:p>
    <w:p w14:paraId="41768AF3" w14:textId="77777777" w:rsidR="00F16B7C" w:rsidRDefault="00F16B7C" w:rsidP="00F16B7C">
      <w:pPr>
        <w:pStyle w:val="2"/>
        <w:ind w:firstLine="708"/>
      </w:pPr>
    </w:p>
    <w:tbl>
      <w:tblPr>
        <w:tblW w:w="953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999"/>
        <w:gridCol w:w="1002"/>
        <w:gridCol w:w="923"/>
        <w:gridCol w:w="1056"/>
        <w:gridCol w:w="891"/>
        <w:gridCol w:w="720"/>
        <w:gridCol w:w="666"/>
        <w:gridCol w:w="1144"/>
        <w:gridCol w:w="857"/>
        <w:gridCol w:w="734"/>
      </w:tblGrid>
      <w:tr w:rsidR="00F16B7C" w14:paraId="2F2F28D3" w14:textId="77777777" w:rsidTr="00EB116B">
        <w:trPr>
          <w:cantSplit/>
          <w:trHeight w:val="1689"/>
        </w:trPr>
        <w:tc>
          <w:tcPr>
            <w:tcW w:w="540" w:type="dxa"/>
            <w:noWrap/>
            <w:textDirection w:val="btLr"/>
            <w:vAlign w:val="center"/>
          </w:tcPr>
          <w:p w14:paraId="7BBD521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№ хоз.</w:t>
            </w:r>
          </w:p>
        </w:tc>
        <w:tc>
          <w:tcPr>
            <w:tcW w:w="999" w:type="dxa"/>
            <w:textDirection w:val="btLr"/>
            <w:vAlign w:val="center"/>
          </w:tcPr>
          <w:p w14:paraId="2903E11A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proofErr w:type="spellStart"/>
            <w:r>
              <w:rPr>
                <w:sz w:val="26"/>
              </w:rPr>
              <w:t>Б</w:t>
            </w:r>
            <w:r>
              <w:rPr>
                <w:sz w:val="26"/>
                <w:vertAlign w:val="subscript"/>
              </w:rPr>
              <w:t>ср.вз</w:t>
            </w:r>
            <w:proofErr w:type="spellEnd"/>
            <w:r>
              <w:rPr>
                <w:sz w:val="26"/>
                <w:vertAlign w:val="subscript"/>
              </w:rPr>
              <w:t>.</w:t>
            </w:r>
          </w:p>
        </w:tc>
        <w:tc>
          <w:tcPr>
            <w:tcW w:w="1002" w:type="dxa"/>
            <w:textDirection w:val="btLr"/>
            <w:vAlign w:val="center"/>
          </w:tcPr>
          <w:p w14:paraId="14DF6FB3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Сумма площадей по хозя</w:t>
            </w:r>
            <w:r>
              <w:rPr>
                <w:sz w:val="26"/>
              </w:rPr>
              <w:t>й</w:t>
            </w:r>
            <w:r>
              <w:rPr>
                <w:sz w:val="26"/>
              </w:rPr>
              <w:t>ствам</w:t>
            </w:r>
          </w:p>
        </w:tc>
        <w:tc>
          <w:tcPr>
            <w:tcW w:w="923" w:type="dxa"/>
            <w:textDirection w:val="btLr"/>
            <w:vAlign w:val="center"/>
          </w:tcPr>
          <w:p w14:paraId="5ACCE3EB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proofErr w:type="spellStart"/>
            <w:r>
              <w:rPr>
                <w:sz w:val="26"/>
              </w:rPr>
              <w:t>SxБ</w:t>
            </w:r>
            <w:r>
              <w:rPr>
                <w:sz w:val="26"/>
                <w:vertAlign w:val="subscript"/>
              </w:rPr>
              <w:t>ср.вз</w:t>
            </w:r>
            <w:proofErr w:type="spellEnd"/>
            <w:r>
              <w:rPr>
                <w:sz w:val="26"/>
                <w:vertAlign w:val="subscript"/>
              </w:rPr>
              <w:t>.</w:t>
            </w:r>
          </w:p>
        </w:tc>
        <w:tc>
          <w:tcPr>
            <w:tcW w:w="1056" w:type="dxa"/>
            <w:textDirection w:val="btLr"/>
            <w:vAlign w:val="center"/>
          </w:tcPr>
          <w:p w14:paraId="01508990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proofErr w:type="spellStart"/>
            <w:r>
              <w:rPr>
                <w:sz w:val="26"/>
              </w:rPr>
              <w:t>Y</w:t>
            </w:r>
            <w:r>
              <w:rPr>
                <w:sz w:val="26"/>
                <w:vertAlign w:val="subscript"/>
              </w:rPr>
              <w:t>ср.вз</w:t>
            </w:r>
            <w:proofErr w:type="spellEnd"/>
            <w:r>
              <w:rPr>
                <w:sz w:val="26"/>
                <w:vertAlign w:val="subscript"/>
              </w:rPr>
              <w:t>.</w:t>
            </w:r>
            <w:r>
              <w:rPr>
                <w:sz w:val="26"/>
              </w:rPr>
              <w:t xml:space="preserve"> урожа</w:t>
            </w:r>
            <w:r>
              <w:rPr>
                <w:sz w:val="26"/>
              </w:rPr>
              <w:t>й</w:t>
            </w:r>
            <w:r>
              <w:rPr>
                <w:sz w:val="26"/>
              </w:rPr>
              <w:t>ность ц/га</w:t>
            </w:r>
          </w:p>
        </w:tc>
        <w:tc>
          <w:tcPr>
            <w:tcW w:w="891" w:type="dxa"/>
            <w:noWrap/>
            <w:textDirection w:val="btLr"/>
            <w:vAlign w:val="center"/>
          </w:tcPr>
          <w:p w14:paraId="09BA0EF7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proofErr w:type="spellStart"/>
            <w:r>
              <w:rPr>
                <w:sz w:val="26"/>
              </w:rPr>
              <w:t>SxY</w:t>
            </w:r>
            <w:proofErr w:type="spellEnd"/>
          </w:p>
        </w:tc>
        <w:tc>
          <w:tcPr>
            <w:tcW w:w="720" w:type="dxa"/>
            <w:noWrap/>
            <w:textDirection w:val="btLr"/>
          </w:tcPr>
          <w:p w14:paraId="41DCCF4E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  _</w:t>
            </w:r>
          </w:p>
          <w:p w14:paraId="4F09C3CE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х-х</w:t>
            </w:r>
          </w:p>
        </w:tc>
        <w:tc>
          <w:tcPr>
            <w:tcW w:w="666" w:type="dxa"/>
            <w:noWrap/>
            <w:textDirection w:val="btLr"/>
          </w:tcPr>
          <w:p w14:paraId="44A99D89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   _</w:t>
            </w:r>
          </w:p>
          <w:p w14:paraId="3A0D7998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Y-Y </w:t>
            </w:r>
          </w:p>
        </w:tc>
        <w:tc>
          <w:tcPr>
            <w:tcW w:w="1144" w:type="dxa"/>
            <w:noWrap/>
            <w:textDirection w:val="btLr"/>
            <w:vAlign w:val="center"/>
          </w:tcPr>
          <w:p w14:paraId="31FE9A7B" w14:textId="77777777" w:rsidR="00F16B7C" w:rsidRDefault="00F16B7C" w:rsidP="00EB116B">
            <w:pPr>
              <w:ind w:left="113" w:right="113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     _         _  </w:t>
            </w:r>
          </w:p>
          <w:p w14:paraId="0F79277E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(х-</w:t>
            </w:r>
            <w:proofErr w:type="gramStart"/>
            <w:r>
              <w:rPr>
                <w:sz w:val="26"/>
              </w:rPr>
              <w:t>х)*</w:t>
            </w:r>
            <w:proofErr w:type="gramEnd"/>
            <w:r>
              <w:rPr>
                <w:sz w:val="26"/>
              </w:rPr>
              <w:t>(Y-Y)</w:t>
            </w:r>
          </w:p>
        </w:tc>
        <w:tc>
          <w:tcPr>
            <w:tcW w:w="857" w:type="dxa"/>
            <w:noWrap/>
            <w:textDirection w:val="btLr"/>
            <w:vAlign w:val="center"/>
          </w:tcPr>
          <w:p w14:paraId="35ECD934" w14:textId="77777777" w:rsidR="00F16B7C" w:rsidRDefault="00F16B7C" w:rsidP="00EB116B">
            <w:pPr>
              <w:ind w:left="113" w:right="113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          _</w:t>
            </w:r>
          </w:p>
          <w:p w14:paraId="5A555DDB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(х-х)</w:t>
            </w:r>
            <w:r>
              <w:rPr>
                <w:sz w:val="26"/>
                <w:vertAlign w:val="superscript"/>
              </w:rPr>
              <w:t>2</w:t>
            </w:r>
          </w:p>
        </w:tc>
        <w:tc>
          <w:tcPr>
            <w:tcW w:w="734" w:type="dxa"/>
            <w:noWrap/>
            <w:textDirection w:val="btLr"/>
            <w:vAlign w:val="center"/>
          </w:tcPr>
          <w:p w14:paraId="17FE7CB8" w14:textId="77777777" w:rsidR="00F16B7C" w:rsidRDefault="00F16B7C" w:rsidP="00EB116B">
            <w:pPr>
              <w:ind w:left="113" w:right="113"/>
              <w:rPr>
                <w:rFonts w:eastAsia="Arial Unicode MS"/>
                <w:sz w:val="26"/>
              </w:rPr>
            </w:pPr>
            <w:r>
              <w:rPr>
                <w:sz w:val="26"/>
              </w:rPr>
              <w:t xml:space="preserve">          _</w:t>
            </w:r>
          </w:p>
          <w:p w14:paraId="19035060" w14:textId="77777777" w:rsidR="00F16B7C" w:rsidRDefault="00F16B7C" w:rsidP="00EB116B">
            <w:pPr>
              <w:ind w:left="113" w:right="113"/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(Y-Y)</w:t>
            </w:r>
            <w:r>
              <w:rPr>
                <w:sz w:val="26"/>
                <w:vertAlign w:val="superscript"/>
              </w:rPr>
              <w:t>2</w:t>
            </w:r>
          </w:p>
        </w:tc>
      </w:tr>
      <w:tr w:rsidR="00F16B7C" w14:paraId="58EB51D7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3F3DF81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999" w:type="dxa"/>
            <w:vAlign w:val="center"/>
          </w:tcPr>
          <w:p w14:paraId="4763C1E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5913A20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613C975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6C872E3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1905AC2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09A9636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4257321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2629AE1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28088D5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6B23D69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4AD66BC9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56AF84F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999" w:type="dxa"/>
            <w:noWrap/>
            <w:vAlign w:val="center"/>
          </w:tcPr>
          <w:p w14:paraId="268BD13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5CE6FA2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2416D68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1B319DC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597F1B8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7C511A3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4E684F1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12AF9A7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75C4E6D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1DD9E29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5FFEF436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1EF1C8F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999" w:type="dxa"/>
            <w:noWrap/>
            <w:vAlign w:val="center"/>
          </w:tcPr>
          <w:p w14:paraId="3CB6DE5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4E7C245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0B8BFA8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1417A2E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69D0594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78FE7DF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56345AC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318A841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29FA485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01B6E1B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43C0EB08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52EBB2A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999" w:type="dxa"/>
            <w:noWrap/>
            <w:vAlign w:val="center"/>
          </w:tcPr>
          <w:p w14:paraId="37329FB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2C27106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71ACBA6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0A77AE6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2C69721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644BA92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45A66A6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1C4DEF8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74EBDC2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1769752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4105506E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5B0567C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999" w:type="dxa"/>
            <w:noWrap/>
            <w:vAlign w:val="center"/>
          </w:tcPr>
          <w:p w14:paraId="796AF6E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178F3CA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6D15F39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7E2E881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5A271EF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29DAB58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4672DBC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3F67268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733F02A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5356B90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7977E71D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03EB74B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999" w:type="dxa"/>
            <w:noWrap/>
            <w:vAlign w:val="center"/>
          </w:tcPr>
          <w:p w14:paraId="7AE9416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617F241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6597B8F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089F507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62DFC22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3D28E80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655935E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2A76641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1AEBB46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5F73D32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251067DF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07EA37F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999" w:type="dxa"/>
            <w:noWrap/>
            <w:vAlign w:val="center"/>
          </w:tcPr>
          <w:p w14:paraId="3F722FC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1AA0142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0A32DA3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5BEB327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68FC1D6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2B00E34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5C1B824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266241E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228604E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0A777D5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2C91FC44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016D93C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999" w:type="dxa"/>
            <w:noWrap/>
            <w:vAlign w:val="center"/>
          </w:tcPr>
          <w:p w14:paraId="63CA205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5C48740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62988A4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10FDE68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7781212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2FE2C9A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2A5E49A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7E3C8AE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73A95D5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436FA17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15CDB025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778792B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999" w:type="dxa"/>
            <w:noWrap/>
            <w:vAlign w:val="center"/>
          </w:tcPr>
          <w:p w14:paraId="27148AC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5A1C46A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09CFA9D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7EB3A53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4CD763A9" w14:textId="77777777" w:rsidR="00F16B7C" w:rsidRDefault="00F16B7C" w:rsidP="00EB116B">
            <w:pPr>
              <w:ind w:left="-6028" w:right="6325"/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7E173B4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5C4B3BA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4D3BB27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063A0EF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7C5CF91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0763ECAA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0EEB306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999" w:type="dxa"/>
            <w:noWrap/>
            <w:vAlign w:val="center"/>
          </w:tcPr>
          <w:p w14:paraId="6FAD3C7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63F5283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4F14025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4DA9DCC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08889C9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7BEBE07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230FE58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33E4C52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6A6C5EF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5A83A52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456A5C13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1F7AF64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999" w:type="dxa"/>
            <w:noWrap/>
            <w:vAlign w:val="center"/>
          </w:tcPr>
          <w:p w14:paraId="4B469DF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6F26F1F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441D2D0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2E563F0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3DBD2B0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1D27FDC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223EFC5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6563F2B8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4663578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6C20E7D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5AFE4DCE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1C5B174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999" w:type="dxa"/>
            <w:noWrap/>
            <w:vAlign w:val="center"/>
          </w:tcPr>
          <w:p w14:paraId="6D97BDA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715298F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08C3F11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600598D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51C61A0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37E1137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50B3F04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2214C06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11264AF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0516E93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1662442C" w14:textId="77777777" w:rsidTr="00EB116B">
        <w:trPr>
          <w:trHeight w:val="195"/>
        </w:trPr>
        <w:tc>
          <w:tcPr>
            <w:tcW w:w="540" w:type="dxa"/>
            <w:noWrap/>
            <w:vAlign w:val="center"/>
          </w:tcPr>
          <w:p w14:paraId="68FBBBB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999" w:type="dxa"/>
            <w:noWrap/>
            <w:vAlign w:val="center"/>
          </w:tcPr>
          <w:p w14:paraId="1C5D3A3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noWrap/>
            <w:vAlign w:val="center"/>
          </w:tcPr>
          <w:p w14:paraId="3F8E340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noWrap/>
            <w:vAlign w:val="center"/>
          </w:tcPr>
          <w:p w14:paraId="4D6FD72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noWrap/>
            <w:vAlign w:val="center"/>
          </w:tcPr>
          <w:p w14:paraId="569DB36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noWrap/>
            <w:vAlign w:val="center"/>
          </w:tcPr>
          <w:p w14:paraId="7AF783A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noWrap/>
            <w:vAlign w:val="center"/>
          </w:tcPr>
          <w:p w14:paraId="048186D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noWrap/>
            <w:vAlign w:val="center"/>
          </w:tcPr>
          <w:p w14:paraId="781EA75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4B07A30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57" w:type="dxa"/>
            <w:noWrap/>
            <w:vAlign w:val="center"/>
          </w:tcPr>
          <w:p w14:paraId="7F053FE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34" w:type="dxa"/>
            <w:noWrap/>
            <w:vAlign w:val="center"/>
          </w:tcPr>
          <w:p w14:paraId="0771089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46C0E8BF" w14:textId="77777777" w:rsidTr="00EB116B">
        <w:trPr>
          <w:trHeight w:val="240"/>
        </w:trPr>
        <w:tc>
          <w:tcPr>
            <w:tcW w:w="540" w:type="dxa"/>
            <w:vMerge w:val="restart"/>
            <w:noWrap/>
          </w:tcPr>
          <w:p w14:paraId="52DE06E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  <w:p w14:paraId="2ABAB6B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  <w:p w14:paraId="580131B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999" w:type="dxa"/>
            <w:vMerge w:val="restart"/>
            <w:noWrap/>
          </w:tcPr>
          <w:p w14:paraId="40DC6CF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_</w:t>
            </w:r>
          </w:p>
          <w:p w14:paraId="634DA19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х</w:t>
            </w:r>
          </w:p>
        </w:tc>
        <w:tc>
          <w:tcPr>
            <w:tcW w:w="1002" w:type="dxa"/>
            <w:vMerge w:val="restart"/>
            <w:noWrap/>
          </w:tcPr>
          <w:p w14:paraId="343BFCF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sym w:font="Symbol" w:char="F0E5"/>
            </w:r>
            <w:r>
              <w:rPr>
                <w:lang w:val="en-US"/>
              </w:rPr>
              <w:t xml:space="preserve"> =</w:t>
            </w:r>
          </w:p>
          <w:p w14:paraId="7C652A0F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 </w:t>
            </w:r>
          </w:p>
          <w:p w14:paraId="500B6B7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vMerge w:val="restart"/>
            <w:noWrap/>
          </w:tcPr>
          <w:p w14:paraId="6126DBB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lastRenderedPageBreak/>
              <w:sym w:font="Symbol" w:char="F0E5"/>
            </w:r>
            <w:r>
              <w:rPr>
                <w:lang w:val="en-US"/>
              </w:rPr>
              <w:t xml:space="preserve"> =</w:t>
            </w:r>
          </w:p>
          <w:p w14:paraId="2AC7143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 </w:t>
            </w:r>
          </w:p>
          <w:p w14:paraId="325FE9B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1056" w:type="dxa"/>
            <w:vMerge w:val="restart"/>
            <w:noWrap/>
            <w:vAlign w:val="center"/>
          </w:tcPr>
          <w:p w14:paraId="2496A40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_</w:t>
            </w:r>
          </w:p>
          <w:p w14:paraId="421F1BAC" w14:textId="77777777" w:rsidR="00F16B7C" w:rsidRPr="006D36E5" w:rsidRDefault="00F16B7C" w:rsidP="00EB116B">
            <w:pPr>
              <w:jc w:val="center"/>
              <w:rPr>
                <w:rFonts w:eastAsia="Arial Unicode MS"/>
                <w:sz w:val="26"/>
                <w:lang w:val="en-US"/>
              </w:rPr>
            </w:pPr>
            <w:r>
              <w:rPr>
                <w:sz w:val="26"/>
                <w:lang w:val="en-US"/>
              </w:rPr>
              <w:t>y</w:t>
            </w:r>
          </w:p>
        </w:tc>
        <w:tc>
          <w:tcPr>
            <w:tcW w:w="891" w:type="dxa"/>
            <w:vMerge w:val="restart"/>
            <w:noWrap/>
            <w:vAlign w:val="center"/>
          </w:tcPr>
          <w:p w14:paraId="3E7576B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sym w:font="Symbol" w:char="F0E5"/>
            </w:r>
            <w:r>
              <w:rPr>
                <w:lang w:val="en-US"/>
              </w:rPr>
              <w:t xml:space="preserve"> =</w:t>
            </w:r>
          </w:p>
          <w:p w14:paraId="3B592806" w14:textId="77777777" w:rsidR="00F16B7C" w:rsidRDefault="00F16B7C" w:rsidP="00EB116B">
            <w:pPr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 </w:t>
            </w:r>
          </w:p>
          <w:p w14:paraId="66612F3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vMerge w:val="restart"/>
            <w:noWrap/>
            <w:vAlign w:val="center"/>
          </w:tcPr>
          <w:p w14:paraId="395D444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lastRenderedPageBreak/>
              <w:sym w:font="Symbol" w:char="F0E5"/>
            </w:r>
            <w:r>
              <w:rPr>
                <w:lang w:val="en-US"/>
              </w:rPr>
              <w:t xml:space="preserve"> =</w:t>
            </w:r>
          </w:p>
          <w:p w14:paraId="4A11DFF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 </w:t>
            </w:r>
          </w:p>
          <w:p w14:paraId="2ACAD895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666" w:type="dxa"/>
            <w:vMerge w:val="restart"/>
            <w:noWrap/>
            <w:vAlign w:val="center"/>
          </w:tcPr>
          <w:p w14:paraId="42E3A6A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lastRenderedPageBreak/>
              <w:sym w:font="Symbol" w:char="F0E5"/>
            </w:r>
            <w:r>
              <w:rPr>
                <w:lang w:val="en-US"/>
              </w:rPr>
              <w:t xml:space="preserve"> =</w:t>
            </w:r>
          </w:p>
          <w:p w14:paraId="327CCB9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lastRenderedPageBreak/>
              <w:t> </w:t>
            </w:r>
          </w:p>
          <w:p w14:paraId="789BAD9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 </w:t>
            </w:r>
          </w:p>
        </w:tc>
        <w:tc>
          <w:tcPr>
            <w:tcW w:w="1144" w:type="dxa"/>
            <w:noWrap/>
            <w:vAlign w:val="center"/>
          </w:tcPr>
          <w:p w14:paraId="07600B4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lastRenderedPageBreak/>
              <w:sym w:font="Symbol" w:char="F0E5"/>
            </w:r>
            <w:r>
              <w:rPr>
                <w:lang w:val="en-US"/>
              </w:rPr>
              <w:t xml:space="preserve"> =</w:t>
            </w:r>
          </w:p>
        </w:tc>
        <w:tc>
          <w:tcPr>
            <w:tcW w:w="857" w:type="dxa"/>
            <w:noWrap/>
            <w:vAlign w:val="center"/>
          </w:tcPr>
          <w:p w14:paraId="0A9D2891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sym w:font="Symbol" w:char="F0E5"/>
            </w:r>
            <w:r>
              <w:rPr>
                <w:lang w:val="en-US"/>
              </w:rPr>
              <w:t xml:space="preserve"> =</w:t>
            </w:r>
          </w:p>
        </w:tc>
        <w:tc>
          <w:tcPr>
            <w:tcW w:w="734" w:type="dxa"/>
            <w:noWrap/>
            <w:vAlign w:val="center"/>
          </w:tcPr>
          <w:p w14:paraId="4A29F5A0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lang w:val="en-US"/>
              </w:rPr>
              <w:sym w:font="Symbol" w:char="F0E5"/>
            </w:r>
            <w:r>
              <w:rPr>
                <w:lang w:val="en-US"/>
              </w:rPr>
              <w:t xml:space="preserve"> =</w:t>
            </w:r>
          </w:p>
        </w:tc>
      </w:tr>
      <w:tr w:rsidR="00F16B7C" w14:paraId="5674217A" w14:textId="77777777" w:rsidTr="00EB116B">
        <w:trPr>
          <w:trHeight w:val="210"/>
        </w:trPr>
        <w:tc>
          <w:tcPr>
            <w:tcW w:w="540" w:type="dxa"/>
            <w:vMerge/>
            <w:noWrap/>
          </w:tcPr>
          <w:p w14:paraId="71ADB74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99" w:type="dxa"/>
            <w:vMerge/>
            <w:noWrap/>
          </w:tcPr>
          <w:p w14:paraId="305C50F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vMerge/>
            <w:noWrap/>
          </w:tcPr>
          <w:p w14:paraId="609A120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vMerge/>
            <w:noWrap/>
          </w:tcPr>
          <w:p w14:paraId="11B286A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vMerge/>
            <w:noWrap/>
          </w:tcPr>
          <w:p w14:paraId="08E3EADE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vMerge/>
            <w:noWrap/>
            <w:vAlign w:val="bottom"/>
          </w:tcPr>
          <w:p w14:paraId="2AB5FD59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22C509B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vMerge/>
            <w:noWrap/>
            <w:vAlign w:val="center"/>
          </w:tcPr>
          <w:p w14:paraId="7C13594B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0D5596F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r</w:t>
            </w:r>
          </w:p>
        </w:tc>
        <w:tc>
          <w:tcPr>
            <w:tcW w:w="1591" w:type="dxa"/>
            <w:gridSpan w:val="2"/>
            <w:noWrap/>
            <w:vAlign w:val="center"/>
          </w:tcPr>
          <w:p w14:paraId="278C8FC4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  <w:tr w:rsidR="00F16B7C" w14:paraId="36664835" w14:textId="77777777" w:rsidTr="00EB116B">
        <w:trPr>
          <w:trHeight w:val="270"/>
        </w:trPr>
        <w:tc>
          <w:tcPr>
            <w:tcW w:w="540" w:type="dxa"/>
            <w:vMerge/>
            <w:noWrap/>
          </w:tcPr>
          <w:p w14:paraId="403525E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99" w:type="dxa"/>
            <w:vMerge/>
            <w:noWrap/>
          </w:tcPr>
          <w:p w14:paraId="51FBEDED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02" w:type="dxa"/>
            <w:vMerge/>
            <w:noWrap/>
          </w:tcPr>
          <w:p w14:paraId="48E3833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923" w:type="dxa"/>
            <w:vMerge/>
            <w:noWrap/>
          </w:tcPr>
          <w:p w14:paraId="5B2E11A6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056" w:type="dxa"/>
            <w:vMerge/>
            <w:noWrap/>
          </w:tcPr>
          <w:p w14:paraId="1167F562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891" w:type="dxa"/>
            <w:vMerge/>
            <w:noWrap/>
            <w:vAlign w:val="center"/>
          </w:tcPr>
          <w:p w14:paraId="5C3D6F8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3BECF127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666" w:type="dxa"/>
            <w:vMerge/>
            <w:noWrap/>
            <w:vAlign w:val="center"/>
          </w:tcPr>
          <w:p w14:paraId="0BEC2DDA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  <w:tc>
          <w:tcPr>
            <w:tcW w:w="1144" w:type="dxa"/>
            <w:noWrap/>
            <w:vAlign w:val="center"/>
          </w:tcPr>
          <w:p w14:paraId="7EA7BF03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  <w:r>
              <w:rPr>
                <w:sz w:val="26"/>
              </w:rPr>
              <w:t>d</w:t>
            </w:r>
          </w:p>
        </w:tc>
        <w:tc>
          <w:tcPr>
            <w:tcW w:w="1591" w:type="dxa"/>
            <w:gridSpan w:val="2"/>
            <w:noWrap/>
            <w:vAlign w:val="center"/>
          </w:tcPr>
          <w:p w14:paraId="0457C67C" w14:textId="77777777" w:rsidR="00F16B7C" w:rsidRDefault="00F16B7C" w:rsidP="00EB116B">
            <w:pPr>
              <w:jc w:val="center"/>
              <w:rPr>
                <w:rFonts w:eastAsia="Arial Unicode MS"/>
                <w:sz w:val="26"/>
              </w:rPr>
            </w:pPr>
          </w:p>
        </w:tc>
      </w:tr>
    </w:tbl>
    <w:p w14:paraId="0CECE5D6" w14:textId="77777777" w:rsidR="00F16B7C" w:rsidRDefault="00F16B7C" w:rsidP="00F16B7C">
      <w:pPr>
        <w:pStyle w:val="2"/>
        <w:ind w:firstLine="708"/>
      </w:pPr>
    </w:p>
    <w:p w14:paraId="7739E847" w14:textId="77777777" w:rsidR="00F16B7C" w:rsidRDefault="00F16B7C" w:rsidP="00F16B7C">
      <w:pPr>
        <w:pStyle w:val="2"/>
        <w:ind w:firstLine="708"/>
      </w:pPr>
      <w:r>
        <w:t xml:space="preserve">3.2 Результаты бонитировки почв анализируются с точки зрения их пригодности для практического использования. При этом можно считать если квадрат коэффициента корреляции (т.е. коэффициент детерминации) равен 0.7 – 0.8, то результаты бонитировки почв могут быть </w:t>
      </w:r>
      <w:proofErr w:type="gramStart"/>
      <w:r>
        <w:t>использованы  для</w:t>
      </w:r>
      <w:proofErr w:type="gramEnd"/>
      <w:r>
        <w:t xml:space="preserve"> практических целей. </w:t>
      </w:r>
    </w:p>
    <w:p w14:paraId="0390EC13" w14:textId="77777777" w:rsidR="00F16B7C" w:rsidRDefault="00F16B7C" w:rsidP="00F16B7C">
      <w:pPr>
        <w:pStyle w:val="2"/>
        <w:ind w:firstLine="708"/>
      </w:pPr>
      <w:r>
        <w:t xml:space="preserve">Если величина коэффициента корреляции меньше 0,7 то необходимо провести следующий анализ данных по выше приведенной таблице:  в том случае  где делением урожайности на балл бонитета почв получают значения «цены» резко отличающееся от преобладающих, эти  данные в дальнейших  расчетах  должны быть исключены из корреляционного анализа и после  исключения -  </w:t>
      </w:r>
      <w:proofErr w:type="spellStart"/>
      <w:r>
        <w:t>перевычисляется</w:t>
      </w:r>
      <w:proofErr w:type="spellEnd"/>
      <w:r>
        <w:t xml:space="preserve">  коэффициент корреляции.</w:t>
      </w:r>
    </w:p>
    <w:p w14:paraId="69BD472D" w14:textId="77777777" w:rsidR="00F16B7C" w:rsidRDefault="00F16B7C" w:rsidP="00F16B7C">
      <w:pPr>
        <w:ind w:firstLine="709"/>
        <w:jc w:val="both"/>
        <w:rPr>
          <w:sz w:val="28"/>
          <w:szCs w:val="28"/>
        </w:rPr>
      </w:pPr>
    </w:p>
    <w:p w14:paraId="56390DAF" w14:textId="1D6084FB" w:rsidR="00F24D12" w:rsidRDefault="00F16B7C" w:rsidP="00F16B7C">
      <w:r>
        <w:rPr>
          <w:b/>
          <w:sz w:val="28"/>
        </w:rPr>
        <w:br w:type="page"/>
      </w:r>
      <w:bookmarkStart w:id="0" w:name="_GoBack"/>
      <w:bookmarkEnd w:id="0"/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848"/>
    <w:rsid w:val="00CD4848"/>
    <w:rsid w:val="00F16B7C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F67C46-4DE2-42CE-A488-068B66327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B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16B7C"/>
    <w:pPr>
      <w:ind w:firstLine="90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F16B7C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2020-01-13T09:48:00Z</dcterms:created>
  <dcterms:modified xsi:type="dcterms:W3CDTF">2020-01-13T09:49:00Z</dcterms:modified>
</cp:coreProperties>
</file>